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关于《</w:t>
      </w:r>
      <w:r>
        <w:rPr>
          <w:rFonts w:hint="eastAsia" w:ascii="Times New Roman" w:hAnsi="Times New Roman" w:eastAsia="方正小标宋简体" w:cs="方正小标宋简体"/>
          <w:sz w:val="44"/>
          <w:szCs w:val="36"/>
        </w:rPr>
        <w:t>淮南市城镇燃气管道“带病运行”问题</w:t>
      </w:r>
    </w:p>
    <w:p>
      <w:pPr>
        <w:spacing w:line="560" w:lineRule="exact"/>
        <w:rPr>
          <w:rFonts w:hint="eastAsia" w:ascii="楷体_GB2312" w:hAnsi="楷体_GB2312" w:eastAsia="方正小标宋简体" w:cs="楷体_GB2312"/>
          <w:szCs w:val="32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36"/>
        </w:rPr>
        <w:t>专项治理实施方案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》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的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说明</w:t>
      </w:r>
    </w:p>
    <w:p>
      <w:pPr>
        <w:spacing w:line="550" w:lineRule="exact"/>
        <w:jc w:val="both"/>
        <w:rPr>
          <w:rFonts w:ascii="黑体" w:hAnsi="黑体" w:eastAsia="黑体" w:cs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</w:t>
      </w:r>
      <w:r>
        <w:rPr>
          <w:rFonts w:ascii="黑体" w:hAnsi="黑体" w:eastAsia="黑体" w:cs="黑体"/>
          <w:szCs w:val="32"/>
        </w:rPr>
        <w:t>、</w:t>
      </w:r>
      <w:r>
        <w:rPr>
          <w:rFonts w:hint="eastAsia" w:ascii="黑体" w:hAnsi="黑体" w:eastAsia="黑体" w:cs="黑体"/>
          <w:szCs w:val="32"/>
        </w:rPr>
        <w:t>起草背景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0" w:lineRule="exact"/>
        <w:jc w:val="both"/>
        <w:textAlignment w:val="auto"/>
      </w:pPr>
      <w:r>
        <w:rPr>
          <w:rFonts w:hint="eastAsia"/>
        </w:rPr>
        <w:t>为深刻汲取</w:t>
      </w:r>
      <w:r>
        <w:t>河北燕郊</w:t>
      </w:r>
      <w:r>
        <w:rPr>
          <w:rFonts w:hint="eastAsia"/>
        </w:rPr>
        <w:t>城镇燃气</w:t>
      </w:r>
      <w:r>
        <w:t>爆炸</w:t>
      </w:r>
      <w:r>
        <w:rPr>
          <w:rFonts w:hint="eastAsia"/>
        </w:rPr>
        <w:t>事故教训</w:t>
      </w:r>
      <w:r>
        <w:t>，认真贯彻习近平总书记重要指示批示精神</w:t>
      </w:r>
      <w:r>
        <w:rPr>
          <w:rFonts w:hint="eastAsia"/>
        </w:rPr>
        <w:t>，全面加强城镇燃气安全风险隐患排查治理，切实保障人民群众生命财产安全，根据《中华人民共和国安全生产法》《安徽省城镇燃气管道“带病运行”</w:t>
      </w:r>
      <w:r>
        <w:t>问题</w:t>
      </w:r>
      <w:r>
        <w:rPr>
          <w:rFonts w:hint="eastAsia"/>
        </w:rPr>
        <w:t>专项</w:t>
      </w:r>
      <w:r>
        <w:t>治理</w:t>
      </w:r>
      <w:r>
        <w:rPr>
          <w:rFonts w:hint="eastAsia"/>
        </w:rPr>
        <w:t>工作方案》等法律法规及有关文件精神，</w:t>
      </w:r>
      <w:r>
        <w:t>结合我市燃气目前存在的实际问题，</w:t>
      </w:r>
      <w:r>
        <w:rPr>
          <w:rFonts w:hint="eastAsia"/>
        </w:rPr>
        <w:t>我局牵头起草了《淮南市城镇燃气管道“带病运行”问题专项治理实施方案</w:t>
      </w:r>
      <w:r>
        <w:t>（征求意见稿）</w:t>
      </w:r>
      <w:r>
        <w:rPr>
          <w:rFonts w:hint="eastAsia"/>
        </w:rPr>
        <w:t>》（以下简称《方案》）。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</w:t>
      </w:r>
      <w:r>
        <w:rPr>
          <w:rFonts w:hint="eastAsia" w:ascii="黑体" w:hAnsi="黑体" w:eastAsia="黑体" w:cs="黑体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</w:pPr>
      <w:r>
        <w:rPr>
          <w:rFonts w:hint="eastAsia"/>
        </w:rPr>
        <w:t>《方案》总体框架与省文件相同，共分</w:t>
      </w:r>
      <w:r>
        <w:t>4</w:t>
      </w:r>
      <w:r>
        <w:rPr>
          <w:rFonts w:hint="eastAsia"/>
        </w:rPr>
        <w:t>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2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/>
          <w:bCs/>
          <w:szCs w:val="32"/>
        </w:rPr>
        <w:t>第一部分：总体要求。</w:t>
      </w:r>
      <w:r>
        <w:rPr>
          <w:rFonts w:hint="eastAsia"/>
        </w:rPr>
        <w:t>以习近平新时代中国特色社会主义思想为指导，深入贯彻落实习近平总书记关于安全生产特别是城</w:t>
      </w:r>
      <w:r>
        <w:t>镇</w:t>
      </w:r>
      <w:r>
        <w:rPr>
          <w:rFonts w:hint="eastAsia"/>
        </w:rPr>
        <w:t>燃气管道“带病运行”问题的重要指示批示精神，聚焦城镇燃气管道“带病运行”问题和瓶装液化石油气</w:t>
      </w:r>
      <w:r>
        <w:t>全链条</w:t>
      </w:r>
      <w:r>
        <w:rPr>
          <w:rFonts w:hint="eastAsia"/>
        </w:rPr>
        <w:t>，联动正在开展的城镇燃气安全专项整治工作</w:t>
      </w:r>
      <w:r>
        <w:t>和</w:t>
      </w:r>
      <w:r>
        <w:rPr>
          <w:rFonts w:hint="eastAsia"/>
        </w:rPr>
        <w:t>安全生产治本攻坚三年行动</w:t>
      </w:r>
      <w:r>
        <w:t>，</w:t>
      </w:r>
      <w:r>
        <w:rPr>
          <w:rFonts w:hint="eastAsia"/>
        </w:rPr>
        <w:t>全面查找整治城镇燃气安全风险隐患，加快推进燃气管道老化评估和更新改造，严厉打击涉燃气安全各类违法违规行为，坚决防范遏制重特大燃气事故发生，确保城市安全有序运行和人民生命财产安全。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0" w:lineRule="exact"/>
        <w:jc w:val="both"/>
        <w:textAlignment w:val="auto"/>
      </w:pPr>
      <w:r>
        <w:rPr>
          <w:rFonts w:hint="eastAsia" w:ascii="楷体_GB2312" w:hAnsi="楷体_GB2312" w:eastAsia="楷体_GB2312" w:cs="楷体_GB2312"/>
          <w:b/>
          <w:bCs/>
          <w:szCs w:val="32"/>
        </w:rPr>
        <w:t>第二部分：</w:t>
      </w:r>
      <w:r>
        <w:rPr>
          <w:rFonts w:ascii="楷体_GB2312" w:hAnsi="楷体_GB2312" w:eastAsia="楷体_GB2312" w:cs="楷体_GB2312"/>
          <w:b/>
          <w:bCs/>
          <w:szCs w:val="32"/>
        </w:rPr>
        <w:t>重点任务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。</w:t>
      </w:r>
      <w:r>
        <w:rPr>
          <w:rFonts w:hint="eastAsia"/>
        </w:rPr>
        <w:t>包括</w:t>
      </w:r>
      <w:r>
        <w:t>7个方面</w:t>
      </w:r>
      <w:r>
        <w:rPr>
          <w:rFonts w:hint="eastAsia"/>
        </w:rPr>
        <w:t>内容，</w:t>
      </w:r>
      <w:r>
        <w:rPr>
          <w:rFonts w:hint="eastAsia" w:ascii="仿宋_GB2312" w:hAnsi="仿宋_GB2312" w:cs="仿宋_GB2312"/>
          <w:b/>
          <w:bCs/>
          <w:szCs w:val="32"/>
        </w:rPr>
        <w:t>一是开展全覆盖排查核查。</w:t>
      </w:r>
      <w:r>
        <w:rPr>
          <w:rFonts w:hint="eastAsia"/>
        </w:rPr>
        <w:t>重点</w:t>
      </w:r>
      <w:r>
        <w:t>全面摸清燃气管网底数，</w:t>
      </w:r>
      <w:r>
        <w:rPr>
          <w:rFonts w:hint="eastAsia"/>
        </w:rPr>
        <w:t>排查</w:t>
      </w:r>
      <w:r>
        <w:t>户外</w:t>
      </w:r>
      <w:r>
        <w:rPr>
          <w:rFonts w:hint="eastAsia"/>
        </w:rPr>
        <w:t>燃气管道</w:t>
      </w:r>
      <w:r>
        <w:t>及用户户内管道、阀门和</w:t>
      </w:r>
      <w:r>
        <w:rPr>
          <w:rFonts w:hint="eastAsia"/>
        </w:rPr>
        <w:t>瓶装液化石油气经营、生产、储配、充装、供应、配送、使用“全链条”的安全风险和事故隐患。</w:t>
      </w:r>
      <w:r>
        <w:rPr>
          <w:rFonts w:hint="eastAsia" w:ascii="仿宋_GB2312" w:hAnsi="仿宋_GB2312" w:cs="仿宋_GB2312"/>
          <w:b/>
          <w:bCs/>
          <w:szCs w:val="32"/>
        </w:rPr>
        <w:t>二是推进风险隐患整改。</w:t>
      </w:r>
      <w:r>
        <w:rPr>
          <w:rFonts w:hint="eastAsia"/>
        </w:rPr>
        <w:t>对燃气管道被违规占压</w:t>
      </w:r>
      <w:r>
        <w:t>、损毁、</w:t>
      </w:r>
      <w:r>
        <w:rPr>
          <w:rFonts w:hint="eastAsia"/>
        </w:rPr>
        <w:t>穿越密闭空间等安全隐患问题，要立行立改，不能立即整改到位的，制定并严格落实管控措施，限期整改到位。对燃气管道材质、使用年限等问题，以及对使用无熄火保护灶具、可调式减压阀等</w:t>
      </w:r>
      <w:r>
        <w:t>安全隐患，建立台账清单，限定整改时限，实施闭环整改，实行动态清零。</w:t>
      </w:r>
      <w:r>
        <w:rPr>
          <w:rFonts w:hint="eastAsia" w:ascii="仿宋_GB2312" w:hAnsi="仿宋_GB2312" w:cs="仿宋_GB2312"/>
          <w:b/>
          <w:bCs/>
          <w:szCs w:val="32"/>
        </w:rPr>
        <w:t>三是推进燃气管道更新改造。</w:t>
      </w:r>
      <w:r>
        <w:rPr>
          <w:rFonts w:hint="eastAsia"/>
        </w:rPr>
        <w:t>建立动态评估机制，按照住建部、发改委《城市燃气管道老化评估工作指南》的具体标准要求</w:t>
      </w:r>
      <w:r>
        <w:t>，对燃气管道定期开展评估</w:t>
      </w:r>
      <w:r>
        <w:rPr>
          <w:rFonts w:hint="eastAsia"/>
        </w:rPr>
        <w:t>。</w:t>
      </w:r>
      <w:r>
        <w:t>根据评估结果，</w:t>
      </w:r>
      <w:r>
        <w:rPr>
          <w:rFonts w:hint="eastAsia"/>
        </w:rPr>
        <w:t>明确更新改造计划及项目清单，积极争取政策支持，加快推进更新改造项目实施</w:t>
      </w:r>
      <w:r>
        <w:t>。</w:t>
      </w:r>
      <w:r>
        <w:rPr>
          <w:rFonts w:hint="eastAsia" w:ascii="仿宋_GB2312" w:hAnsi="仿宋_GB2312" w:cs="仿宋_GB2312"/>
          <w:b/>
          <w:bCs/>
          <w:szCs w:val="32"/>
        </w:rPr>
        <w:t>四是强化燃气管道及设施日常管理。</w:t>
      </w:r>
      <w:r>
        <w:rPr>
          <w:rFonts w:hint="eastAsia" w:ascii="仿宋_GB2312" w:cs="仿宋_GB2312"/>
          <w:szCs w:val="32"/>
        </w:rPr>
        <w:t>督</w:t>
      </w:r>
      <w:r>
        <w:rPr>
          <w:rFonts w:hint="eastAsia"/>
        </w:rPr>
        <w:t>促建设、勘察、设计、监理、施工及管道燃气等各单位落实燃气管道安全保护的措施，压实燃气企业主体责任，及时发现</w:t>
      </w:r>
      <w:r>
        <w:t>并上报</w:t>
      </w:r>
      <w:r>
        <w:rPr>
          <w:rFonts w:hint="eastAsia"/>
        </w:rPr>
        <w:t>违规施工、擅自改装或安装管道和设施、损坏燃气计量装置等各类违法行为。</w:t>
      </w:r>
      <w:r>
        <w:rPr>
          <w:rFonts w:hint="eastAsia" w:ascii="仿宋_GB2312" w:hAnsi="仿宋_GB2312" w:cs="仿宋_GB2312"/>
          <w:b/>
          <w:bCs/>
          <w:szCs w:val="32"/>
        </w:rPr>
        <w:t>五是加快推进城市生命线工程建设。</w:t>
      </w:r>
      <w:r>
        <w:t>在一期建设基础上，</w:t>
      </w:r>
      <w:r>
        <w:rPr>
          <w:rFonts w:hint="eastAsia"/>
        </w:rPr>
        <w:t>将燃气安全监测预警拓展至城市工商企业</w:t>
      </w:r>
      <w:r>
        <w:t>燃气用户终端</w:t>
      </w:r>
      <w:r>
        <w:rPr>
          <w:rFonts w:hint="eastAsia"/>
        </w:rPr>
        <w:t>、瓶装液化石油气</w:t>
      </w:r>
      <w:r>
        <w:t>等领域，</w:t>
      </w:r>
      <w:r>
        <w:rPr>
          <w:rFonts w:hint="eastAsia"/>
        </w:rPr>
        <w:t>并延伸至县城。推进</w:t>
      </w:r>
      <w:r>
        <w:t>全市</w:t>
      </w:r>
      <w:r>
        <w:rPr>
          <w:rFonts w:hint="eastAsia"/>
        </w:rPr>
        <w:t>液化石油气企业</w:t>
      </w:r>
      <w:r>
        <w:t>建设</w:t>
      </w:r>
      <w:r>
        <w:rPr>
          <w:rFonts w:hint="eastAsia"/>
        </w:rPr>
        <w:t>智慧化管理平台，并接入城市生命线系统，实现瓶装液化石油气</w:t>
      </w:r>
      <w:r>
        <w:t>充装</w:t>
      </w:r>
      <w:r>
        <w:rPr>
          <w:rFonts w:hint="eastAsia"/>
        </w:rPr>
        <w:t>、运输、配送</w:t>
      </w:r>
      <w:r>
        <w:t>全流程</w:t>
      </w:r>
      <w:r>
        <w:rPr>
          <w:rFonts w:hint="eastAsia"/>
        </w:rPr>
        <w:t>实时监测</w:t>
      </w:r>
      <w:r>
        <w:t>。</w:t>
      </w:r>
      <w:r>
        <w:rPr>
          <w:rFonts w:hint="eastAsia" w:ascii="仿宋_GB2312" w:hAnsi="仿宋_GB2312" w:cs="仿宋_GB2312"/>
          <w:b/>
          <w:bCs/>
          <w:szCs w:val="32"/>
        </w:rPr>
        <w:t>六是规范燃气经营市场秩序。</w:t>
      </w:r>
      <w:r>
        <w:t>加强燃气经营许可审批管理，</w:t>
      </w:r>
      <w:r>
        <w:rPr>
          <w:rFonts w:hint="eastAsia"/>
        </w:rPr>
        <w:t>由市住建局负责全市燃气经营许可审批。</w:t>
      </w:r>
      <w:r>
        <w:t>并加强瓶装液化气从业人员管理</w:t>
      </w:r>
      <w:r>
        <w:rPr>
          <w:rFonts w:hint="eastAsia"/>
        </w:rPr>
        <w:t>，对</w:t>
      </w:r>
      <w:r>
        <w:t>违法违规</w:t>
      </w:r>
      <w:r>
        <w:rPr>
          <w:rFonts w:hint="eastAsia"/>
        </w:rPr>
        <w:t>的送气服务人员，主动向社会公开，吊销从业资格证书</w:t>
      </w:r>
      <w:r>
        <w:t>，坚决落实液化气全链条监管责任</w:t>
      </w:r>
      <w:r>
        <w:rPr>
          <w:rFonts w:hint="eastAsia"/>
        </w:rPr>
        <w:t>。</w:t>
      </w:r>
      <w:r>
        <w:rPr>
          <w:rFonts w:hint="eastAsia" w:ascii="仿宋_GB2312" w:hAnsi="仿宋_GB2312" w:cs="仿宋_GB2312"/>
          <w:b/>
          <w:bCs/>
          <w:szCs w:val="32"/>
        </w:rPr>
        <w:t>七是加大执法处罚力度。</w:t>
      </w:r>
      <w:r>
        <w:rPr>
          <w:rFonts w:hint="eastAsia"/>
        </w:rPr>
        <w:t>深入开展联合执法行动，</w:t>
      </w:r>
      <w:r>
        <w:t>完善</w:t>
      </w:r>
      <w:r>
        <w:rPr>
          <w:rFonts w:hint="eastAsia"/>
        </w:rPr>
        <w:t>行刑衔接</w:t>
      </w:r>
      <w:r>
        <w:t>机制</w:t>
      </w:r>
      <w:r>
        <w:rPr>
          <w:rFonts w:hint="eastAsia"/>
        </w:rPr>
        <w:t>，严厉打击瓶装液化石油气“黑瓶”“黑气”“黑窝点”、跨区经营、非法掺混二甲醚、违规倒装</w:t>
      </w:r>
      <w:r>
        <w:t>以及充装自非自有气瓶和</w:t>
      </w:r>
      <w:r>
        <w:rPr>
          <w:rFonts w:hint="eastAsia"/>
        </w:rPr>
        <w:t>制售假冒伪劣燃气灶具、阀门、软管等违法违规行为。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2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/>
          <w:bCs/>
          <w:szCs w:val="32"/>
        </w:rPr>
        <w:t>第</w:t>
      </w:r>
      <w:r>
        <w:rPr>
          <w:rFonts w:ascii="楷体_GB2312" w:hAnsi="楷体_GB2312" w:eastAsia="楷体_GB2312" w:cs="楷体_GB2312"/>
          <w:b/>
          <w:bCs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部分：工作安排。共分为三个阶段，</w:t>
      </w:r>
      <w:r>
        <w:rPr>
          <w:rFonts w:hint="eastAsia" w:ascii="仿宋_GB2312" w:hAnsi="仿宋_GB2312" w:cs="仿宋_GB2312"/>
          <w:b/>
          <w:bCs/>
          <w:szCs w:val="32"/>
        </w:rPr>
        <w:t>一是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动员部署阶段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（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即日起至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202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4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年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4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月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20日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）。</w:t>
      </w:r>
      <w:r>
        <w:rPr>
          <w:rFonts w:hint="eastAsia"/>
        </w:rPr>
        <w:t>各县区、各有关部门组织动员部署，制定本辖区、本行业专项整治实施方案</w:t>
      </w:r>
      <w:r>
        <w:t>。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二是攻坚治理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阶段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（4月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2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1日至6月底）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。</w:t>
      </w:r>
      <w:r>
        <w:rPr>
          <w:rFonts w:hint="eastAsia"/>
        </w:rPr>
        <w:t>全面排查治理风险隐患，建立治理台账，限期整改，切实消除燃气管道“带病运行”等问题风险隐患。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三是巩固提升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阶段</w:t>
      </w:r>
      <w:r>
        <w:rPr>
          <w:rFonts w:hint="eastAsia" w:ascii="仿宋_GB2312" w:hAnsi="仿宋_GB2312" w:cs="仿宋_GB2312"/>
          <w:b/>
          <w:bCs/>
          <w:kern w:val="0"/>
          <w:szCs w:val="32"/>
          <w:shd w:val="clear" w:color="auto" w:fill="FFFFFF"/>
        </w:rPr>
        <w:t>（7月1日至2024年底</w:t>
      </w:r>
      <w:r>
        <w:rPr>
          <w:rFonts w:ascii="仿宋_GB2312" w:hAnsi="仿宋_GB2312" w:cs="仿宋_GB2312"/>
          <w:b/>
          <w:bCs/>
          <w:kern w:val="0"/>
          <w:szCs w:val="32"/>
          <w:shd w:val="clear" w:color="auto" w:fill="FFFFFF"/>
        </w:rPr>
        <w:t>）。</w:t>
      </w:r>
      <w:r>
        <w:rPr>
          <w:rFonts w:hint="eastAsia"/>
        </w:rPr>
        <w:t>建立严进、严管、重罚的城镇燃气市场监管机制，持续提升城镇燃气本质安全水平，建立健全燃气</w:t>
      </w:r>
      <w:r>
        <w:t>管道</w:t>
      </w:r>
      <w:r>
        <w:rPr>
          <w:rFonts w:hint="eastAsia"/>
        </w:rPr>
        <w:t>“</w:t>
      </w:r>
      <w:r>
        <w:t>带病运行</w:t>
      </w:r>
      <w:r>
        <w:rPr>
          <w:rFonts w:hint="eastAsia"/>
        </w:rPr>
        <w:t>”问题治理体系。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2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/>
          <w:bCs/>
          <w:szCs w:val="32"/>
        </w:rPr>
        <w:t>第</w:t>
      </w:r>
      <w:r>
        <w:rPr>
          <w:rFonts w:ascii="楷体_GB2312" w:hAnsi="楷体_GB2312" w:eastAsia="楷体_GB2312" w:cs="楷体_GB2312"/>
          <w:b/>
          <w:bCs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部分：保障措施。</w:t>
      </w:r>
      <w:r>
        <w:rPr>
          <w:rFonts w:hint="eastAsia" w:ascii="仿宋_GB2312" w:hAnsi="仿宋_GB2312" w:cs="仿宋_GB2312"/>
          <w:b/>
          <w:bCs/>
          <w:szCs w:val="32"/>
        </w:rPr>
        <w:t>一是加强组织领导。</w:t>
      </w:r>
      <w:r>
        <w:rPr>
          <w:rFonts w:hint="eastAsia"/>
        </w:rPr>
        <w:t>强化城镇燃气安全专项整治工作专班统筹协调作用，</w:t>
      </w:r>
      <w:r>
        <w:t>明确责任分工，加强工作指导，切实推进治理工作深入高效开展</w:t>
      </w:r>
      <w:r>
        <w:rPr>
          <w:rFonts w:hint="eastAsia"/>
        </w:rPr>
        <w:t>。</w:t>
      </w:r>
      <w:r>
        <w:rPr>
          <w:rFonts w:hint="eastAsia" w:ascii="仿宋_GB2312" w:hAnsi="仿宋_GB2312" w:cs="仿宋_GB2312"/>
          <w:b/>
          <w:bCs/>
          <w:szCs w:val="32"/>
        </w:rPr>
        <w:t>二是全面压实责任。</w:t>
      </w:r>
      <w:r>
        <w:rPr>
          <w:rFonts w:hint="eastAsia"/>
        </w:rPr>
        <w:t>压紧压实企业主体责任、部门监管责任和地方党政领导责任，构建市、县（区）、街道（乡镇）、社区（村）、燃气经营企业全方位立体式燃气安全管控网络。</w:t>
      </w:r>
      <w:r>
        <w:rPr>
          <w:rFonts w:hint="eastAsia" w:ascii="仿宋_GB2312" w:hAnsi="仿宋_GB2312" w:cs="仿宋_GB2312"/>
          <w:b/>
          <w:bCs/>
          <w:szCs w:val="32"/>
        </w:rPr>
        <w:t>三是落实政策保障。</w:t>
      </w:r>
      <w:r>
        <w:rPr>
          <w:rFonts w:hint="eastAsia"/>
        </w:rPr>
        <w:t>坚持城镇燃气经营公用事业属性，积极争取中央预算内投资、</w:t>
      </w:r>
      <w:r>
        <w:t>特别</w:t>
      </w:r>
      <w:r>
        <w:rPr>
          <w:rFonts w:hint="eastAsia"/>
        </w:rPr>
        <w:t>国债等政策性资金支持，</w:t>
      </w:r>
      <w:r>
        <w:t>拓展融资渠道</w:t>
      </w:r>
      <w:r>
        <w:rPr>
          <w:rFonts w:hint="eastAsia"/>
        </w:rPr>
        <w:t>。引导</w:t>
      </w:r>
      <w:r>
        <w:t>实施</w:t>
      </w:r>
      <w:r>
        <w:rPr>
          <w:rFonts w:hint="eastAsia"/>
        </w:rPr>
        <w:t>“瓶改管”和“气改电”，降低和消除燃气安全风险和事故隐患。</w:t>
      </w:r>
      <w:r>
        <w:rPr>
          <w:rFonts w:hint="eastAsia" w:ascii="仿宋_GB2312" w:hAnsi="仿宋_GB2312" w:cs="仿宋_GB2312"/>
          <w:b/>
          <w:bCs/>
          <w:szCs w:val="32"/>
        </w:rPr>
        <w:t>四是强化督导检查。</w:t>
      </w:r>
      <w:r>
        <w:rPr>
          <w:rFonts w:hint="eastAsia"/>
        </w:rPr>
        <w:t>建立调度通报、督导评估、督办交办、警示建议、重点约谈等工作机制，做到紧盯不放、一抓到底。</w:t>
      </w:r>
      <w:r>
        <w:rPr>
          <w:rFonts w:hint="eastAsia" w:ascii="仿宋_GB2312" w:hAnsi="仿宋_GB2312" w:cs="仿宋_GB2312"/>
          <w:b/>
          <w:bCs/>
          <w:snapToGrid w:val="0"/>
          <w:szCs w:val="32"/>
        </w:rPr>
        <w:t>五是</w:t>
      </w:r>
      <w:r>
        <w:rPr>
          <w:rFonts w:hint="eastAsia" w:ascii="仿宋_GB2312" w:hAnsi="仿宋_GB2312" w:cs="仿宋_GB2312"/>
          <w:b/>
          <w:bCs/>
          <w:szCs w:val="32"/>
        </w:rPr>
        <w:t>加强宣传引导。</w:t>
      </w:r>
      <w:r>
        <w:t>通过各种途径加大燃气安全宣传，</w:t>
      </w:r>
      <w:r>
        <w:rPr>
          <w:rFonts w:hint="eastAsia"/>
        </w:rPr>
        <w:t>提高广大燃气用户安全用气、防范安全事故发生的能力。</w:t>
      </w:r>
    </w:p>
    <w:sectPr>
      <w:footerReference r:id="rId5" w:type="default"/>
      <w:pgSz w:w="11906" w:h="16838"/>
      <w:pgMar w:top="2098" w:right="1531" w:bottom="1984" w:left="1531" w:header="851" w:footer="992" w:gutter="0"/>
      <w:pgNumType w:fmt="numberInDash"/>
      <w:cols w:space="720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0000000000000000000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3670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36702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8.9pt;width:42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I87rE1wAAAAMBAAAPAAAAAAAAAAEAIAAAADgAAABkcnMvZG93&#10;bnJldi54bWxQSwECFAAUAAAACACHTuJAJJTK++sBAACuAwAADgAAAAAAAAABACAAAAA8AQAAZHJz&#10;L2Uyb0RvYy54bWxQSwUGAAAAAAYABgBZAQAAmQUAAAAA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</w:compat>
  <w:docVars>
    <w:docVar w:name="commondata" w:val="eyJoZGlkIjoiYWYyMmNhYTdiY2ViMTgzYjVhZmM0NmZlYzE2NDYzOTIifQ=="/>
  </w:docVars>
  <w:rsids>
    <w:rsidRoot w:val="00000000"/>
    <w:rsid w:val="E77EA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center"/>
    </w:pPr>
    <w:rPr>
      <w:rFonts w:ascii="仿宋" w:hAnsi="仿宋" w:eastAsia="仿宋_GB2312" w:cs="仿宋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spacing w:after="140" w:line="259" w:lineRule="auto"/>
      <w:ind w:left="10" w:right="132" w:hanging="10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First Indent"/>
    <w:basedOn w:val="1"/>
    <w:qFormat/>
    <w:uiPriority w:val="0"/>
    <w:pPr>
      <w:widowControl w:val="0"/>
      <w:spacing w:after="140" w:line="276" w:lineRule="auto"/>
      <w:ind w:firstLine="100" w:firstLineChars="100"/>
      <w:jc w:val="both"/>
    </w:pPr>
    <w:rPr>
      <w:rFonts w:ascii="Calibri" w:hAnsi="Calibri" w:eastAsia="宋体" w:cs="Times New Roman"/>
      <w:spacing w:val="-20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200" w:firstLineChars="200"/>
    </w:pPr>
    <w:rPr>
      <w:rFonts w:eastAsia="仿宋"/>
    </w:rPr>
  </w:style>
  <w:style w:type="paragraph" w:styleId="8">
    <w:name w:val="Body Text Indent"/>
    <w:basedOn w:val="1"/>
    <w:next w:val="7"/>
    <w:qFormat/>
    <w:uiPriority w:val="0"/>
    <w:pPr>
      <w:spacing w:after="120"/>
      <w:ind w:left="200" w:leftChars="200"/>
    </w:pPr>
  </w:style>
  <w:style w:type="paragraph" w:styleId="9">
    <w:name w:val="Body Text Indent 2"/>
    <w:basedOn w:val="1"/>
    <w:qFormat/>
    <w:uiPriority w:val="0"/>
    <w:pPr>
      <w:ind w:firstLine="200" w:firstLine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Normal (Web)"/>
    <w:basedOn w:val="1"/>
    <w:next w:val="9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14">
    <w:name w:val="Body Text First Indent 2"/>
    <w:basedOn w:val="8"/>
    <w:qFormat/>
    <w:uiPriority w:val="0"/>
    <w:pPr>
      <w:ind w:left="0" w:leftChars="0" w:firstLine="200" w:firstLineChars="200"/>
    </w:p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正文文本首行缩进 2 字符"/>
    <w:qFormat/>
    <w:uiPriority w:val="0"/>
    <w:rPr>
      <w:rFonts w:ascii="Arial" w:hAnsi="Arial" w:eastAsia="Arial" w:cs="Arial"/>
      <w:snapToGrid/>
      <w:color w:val="000000"/>
      <w:sz w:val="21"/>
      <w:szCs w:val="21"/>
    </w:rPr>
  </w:style>
  <w:style w:type="paragraph" w:customStyle="1" w:styleId="21">
    <w:name w:val="普通(网站)1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 w:cs="Arial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22</Pages>
  <Words>0</Words>
  <Characters>6960</Characters>
  <Lines>0</Lines>
  <Paragraphs>84</Paragraphs>
  <TotalTime>2</TotalTime>
  <ScaleCrop>false</ScaleCrop>
  <LinksUpToDate>false</LinksUpToDate>
  <CharactersWithSpaces>9281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2024-04-08T01:18:00Z</dcterms:created>
  <dc:creator>uos</dc:creator>
  <cp:lastModifiedBy>uos</cp:lastModifiedBy>
  <cp:lastPrinted>2024-04-11T23:35:00Z</cp:lastPrinted>
  <dcterms:modified xsi:type="dcterms:W3CDTF">2024-06-07T09:46:53Z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  ">
    <vt:lpwstr>3A8E848077334FDD8BED05EF08489F2A_13</vt:lpwstr>
  </property>
</Properties>
</file>